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19" w:rsidRPr="000B3819" w:rsidRDefault="000B3819" w:rsidP="000B3819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0B3819">
        <w:rPr>
          <w:b/>
          <w:sz w:val="28"/>
          <w:szCs w:val="28"/>
        </w:rPr>
        <w:t>Перечень функций</w:t>
      </w:r>
    </w:p>
    <w:p w:rsidR="000B3819" w:rsidRDefault="000B3819" w:rsidP="000B3819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0B3819">
        <w:rPr>
          <w:b/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0B3819" w:rsidRDefault="000B3819" w:rsidP="000B3819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0B3819">
        <w:rPr>
          <w:b/>
          <w:sz w:val="28"/>
          <w:szCs w:val="28"/>
        </w:rPr>
        <w:t>по Республике Татарстан (Татарстан)</w:t>
      </w:r>
      <w:r>
        <w:rPr>
          <w:b/>
          <w:sz w:val="28"/>
          <w:szCs w:val="28"/>
        </w:rPr>
        <w:t>,</w:t>
      </w:r>
    </w:p>
    <w:p w:rsidR="000B3819" w:rsidRDefault="000B3819" w:rsidP="000B3819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0B3819">
        <w:rPr>
          <w:b/>
          <w:sz w:val="28"/>
          <w:szCs w:val="28"/>
        </w:rPr>
        <w:t xml:space="preserve"> при </w:t>
      </w:r>
      <w:proofErr w:type="gramStart"/>
      <w:r w:rsidRPr="000B3819">
        <w:rPr>
          <w:b/>
          <w:sz w:val="28"/>
          <w:szCs w:val="28"/>
        </w:rPr>
        <w:t>реализации</w:t>
      </w:r>
      <w:proofErr w:type="gramEnd"/>
      <w:r w:rsidRPr="000B3819">
        <w:rPr>
          <w:b/>
          <w:sz w:val="28"/>
          <w:szCs w:val="28"/>
        </w:rPr>
        <w:t xml:space="preserve"> которых наиболее вероятно </w:t>
      </w:r>
    </w:p>
    <w:p w:rsidR="000B3819" w:rsidRDefault="000B3819" w:rsidP="000B3819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0B3819">
        <w:rPr>
          <w:b/>
          <w:sz w:val="28"/>
          <w:szCs w:val="28"/>
        </w:rPr>
        <w:t>возникновение проявления коррупции</w:t>
      </w:r>
    </w:p>
    <w:p w:rsidR="000B3819" w:rsidRPr="000B3819" w:rsidRDefault="000B3819" w:rsidP="000B3819">
      <w:pPr>
        <w:shd w:val="clear" w:color="auto" w:fill="FFFFFF"/>
        <w:spacing w:line="288" w:lineRule="auto"/>
        <w:jc w:val="center"/>
        <w:rPr>
          <w:b/>
          <w:sz w:val="16"/>
          <w:szCs w:val="16"/>
        </w:rPr>
      </w:pPr>
    </w:p>
    <w:p w:rsidR="000B3819" w:rsidRDefault="000B3819" w:rsidP="000B3819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proofErr w:type="gramStart"/>
      <w:r w:rsidRPr="000B3819">
        <w:rPr>
          <w:b/>
          <w:sz w:val="28"/>
          <w:szCs w:val="28"/>
        </w:rPr>
        <w:t xml:space="preserve">(одобрен на заседании Комиссии Управления Роскомнадзора </w:t>
      </w:r>
      <w:proofErr w:type="gramEnd"/>
    </w:p>
    <w:p w:rsidR="000B3819" w:rsidRPr="000B3819" w:rsidRDefault="000B3819" w:rsidP="000B3819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0B3819">
        <w:rPr>
          <w:b/>
          <w:sz w:val="28"/>
          <w:szCs w:val="28"/>
        </w:rPr>
        <w:t>по республике Татарстан (Татарстан) по соблюдению требований к служебному поведению федеральных государственных гражданских служащих и урегулированию конфликта интересов от 28.11.2023г.)</w:t>
      </w:r>
    </w:p>
    <w:p w:rsidR="000B3819" w:rsidRDefault="000B3819" w:rsidP="000B3819">
      <w:pPr>
        <w:spacing w:before="108" w:after="108"/>
        <w:jc w:val="center"/>
        <w:outlineLvl w:val="0"/>
        <w:rPr>
          <w:b/>
          <w:color w:val="26282F"/>
          <w:sz w:val="28"/>
        </w:rPr>
      </w:pPr>
    </w:p>
    <w:p w:rsidR="000B3819" w:rsidRDefault="000B3819" w:rsidP="000B3819">
      <w:pPr>
        <w:spacing w:before="108" w:after="108"/>
        <w:jc w:val="center"/>
        <w:outlineLvl w:val="0"/>
        <w:rPr>
          <w:b/>
          <w:color w:val="26282F"/>
          <w:sz w:val="28"/>
        </w:rPr>
      </w:pPr>
      <w:r>
        <w:rPr>
          <w:b/>
          <w:color w:val="26282F"/>
          <w:sz w:val="28"/>
        </w:rPr>
        <w:t>1. Функции по государственному контролю и надзору:</w:t>
      </w:r>
      <w:bookmarkStart w:id="0" w:name="sub_100"/>
      <w:bookmarkEnd w:id="0"/>
    </w:p>
    <w:p w:rsidR="000B3819" w:rsidRDefault="000B3819" w:rsidP="000B3819">
      <w:pPr>
        <w:ind w:firstLine="720"/>
        <w:jc w:val="both"/>
        <w:rPr>
          <w:sz w:val="16"/>
        </w:rPr>
      </w:pPr>
    </w:p>
    <w:p w:rsidR="000B3819" w:rsidRDefault="000B3819" w:rsidP="000B381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в сфере массовой информации: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 xml:space="preserve">за соблюдением </w:t>
      </w:r>
      <w:hyperlink r:id="rId7" w:history="1">
        <w:r>
          <w:rPr>
            <w:sz w:val="28"/>
          </w:rPr>
          <w:t>законодательства</w:t>
        </w:r>
      </w:hyperlink>
      <w:r>
        <w:rPr>
          <w:sz w:val="28"/>
        </w:rPr>
        <w:t xml:space="preserve"> Российской Федерации в сфере средств массовой информации и массовых коммуникаций, телевизионного вещания и радиовещания;</w:t>
      </w:r>
    </w:p>
    <w:p w:rsidR="000B3819" w:rsidRDefault="000B3819" w:rsidP="000B381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в сфере связи: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за соблюдением операторами связи требований к пропуску трафика и его маршрутизации;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 xml:space="preserve">за соблюдением </w:t>
      </w:r>
      <w:proofErr w:type="gramStart"/>
      <w:r>
        <w:rPr>
          <w:sz w:val="28"/>
        </w:rPr>
        <w:t>порядка распределения ресурса нумерации единой сети электросвязи Российской Федерации</w:t>
      </w:r>
      <w:proofErr w:type="gramEnd"/>
      <w:r>
        <w:rPr>
          <w:sz w:val="28"/>
        </w:rPr>
        <w:t>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rPr>
          <w:sz w:val="28"/>
        </w:rPr>
        <w:t>использования ресурса нумерации единой сети электросвязи Российской Федерации</w:t>
      </w:r>
      <w:proofErr w:type="gramEnd"/>
      <w:r>
        <w:rPr>
          <w:sz w:val="28"/>
        </w:rPr>
        <w:t>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sz w:val="28"/>
        </w:rPr>
        <w:t>радиоконтроля</w:t>
      </w:r>
      <w:proofErr w:type="spellEnd"/>
      <w:r>
        <w:rPr>
          <w:sz w:val="28"/>
        </w:rPr>
        <w:t>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0B3819" w:rsidRDefault="000B3819" w:rsidP="000B381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в сфере информационных технологий: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 xml:space="preserve">за соответствием обработки персональных данных требованиям </w:t>
      </w:r>
      <w:hyperlink r:id="rId8" w:history="1">
        <w:r>
          <w:rPr>
            <w:sz w:val="28"/>
          </w:rPr>
          <w:t>законодательства</w:t>
        </w:r>
      </w:hyperlink>
      <w:r>
        <w:rPr>
          <w:sz w:val="28"/>
        </w:rPr>
        <w:t xml:space="preserve"> Российской Федерации в области персональных данных;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за представлением обязательного федерального экземпляра документов в установленной сфере деятельности Службы;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b/>
          <w:sz w:val="28"/>
        </w:rPr>
        <w:t>в сфере защиты детей от информации, причиняющей вред их здоровью и (или) развитию</w:t>
      </w:r>
      <w:r>
        <w:rPr>
          <w:sz w:val="28"/>
        </w:rPr>
        <w:t>:</w:t>
      </w:r>
    </w:p>
    <w:p w:rsidR="000B3819" w:rsidRDefault="000B3819" w:rsidP="000B381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за соблюдением требований </w:t>
      </w:r>
      <w:hyperlink r:id="rId9" w:history="1">
        <w:r>
          <w:rPr>
            <w:sz w:val="28"/>
          </w:rPr>
          <w:t>законодательства</w:t>
        </w:r>
      </w:hyperlink>
      <w:r>
        <w:rPr>
          <w:sz w:val="28"/>
        </w:rPr>
        <w:t xml:space="preserve">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"Интернет") и сетей подвижной радиотелефонной связи (за исключением контроля и надзора за соответствием требованиям законодательства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и научными организациями требований законодательства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"Интернет").</w:t>
      </w:r>
      <w:proofErr w:type="gramEnd"/>
    </w:p>
    <w:p w:rsidR="000B3819" w:rsidRDefault="000B3819" w:rsidP="000B3819">
      <w:pPr>
        <w:spacing w:before="108" w:after="108"/>
        <w:jc w:val="center"/>
        <w:outlineLvl w:val="0"/>
        <w:rPr>
          <w:b/>
          <w:color w:val="26282F"/>
          <w:sz w:val="28"/>
        </w:rPr>
      </w:pPr>
      <w:r>
        <w:rPr>
          <w:b/>
          <w:color w:val="26282F"/>
          <w:sz w:val="28"/>
        </w:rPr>
        <w:t>2. Функции по регистрации.</w:t>
      </w:r>
      <w:bookmarkStart w:id="1" w:name="sub_200"/>
      <w:bookmarkEnd w:id="1"/>
    </w:p>
    <w:p w:rsidR="000B3819" w:rsidRDefault="000B3819" w:rsidP="000B3819">
      <w:pPr>
        <w:ind w:firstLine="720"/>
        <w:jc w:val="both"/>
        <w:rPr>
          <w:sz w:val="16"/>
        </w:rPr>
      </w:pP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средств массовой информации;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радиоэлектронных средств и высокочастотных устрой</w:t>
      </w:r>
      <w:proofErr w:type="gramStart"/>
      <w:r>
        <w:rPr>
          <w:sz w:val="28"/>
        </w:rPr>
        <w:t>ств гр</w:t>
      </w:r>
      <w:proofErr w:type="gramEnd"/>
      <w:r>
        <w:rPr>
          <w:sz w:val="28"/>
        </w:rPr>
        <w:t>ажданского назначения;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сетей электросвязи, входящих в сеть связи общего пользования, подлежащих регистрации в соответствии с законодательством Российской Федерации.</w:t>
      </w:r>
    </w:p>
    <w:p w:rsidR="000B3819" w:rsidRDefault="000B3819" w:rsidP="000B3819">
      <w:pPr>
        <w:ind w:firstLine="720"/>
        <w:jc w:val="both"/>
        <w:rPr>
          <w:sz w:val="16"/>
        </w:rPr>
      </w:pPr>
    </w:p>
    <w:p w:rsidR="000B3819" w:rsidRDefault="000B3819" w:rsidP="000B3819">
      <w:pPr>
        <w:spacing w:before="108" w:after="108"/>
        <w:jc w:val="center"/>
        <w:outlineLvl w:val="0"/>
        <w:rPr>
          <w:b/>
          <w:color w:val="26282F"/>
          <w:sz w:val="28"/>
        </w:rPr>
      </w:pPr>
      <w:r>
        <w:rPr>
          <w:b/>
          <w:color w:val="26282F"/>
          <w:sz w:val="28"/>
        </w:rPr>
        <w:t>3. Функции по выдаче разрешений.</w:t>
      </w:r>
    </w:p>
    <w:p w:rsidR="000B3819" w:rsidRDefault="000B3819" w:rsidP="000B3819">
      <w:pPr>
        <w:ind w:firstLine="720"/>
        <w:jc w:val="both"/>
        <w:rPr>
          <w:sz w:val="16"/>
        </w:rPr>
      </w:pP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на радиоэлектронные средства и высокочастотные устройства гражданского назначения;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на применение франкировальных машин;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на судовые радиостанции, используемые на морских судах, судах внутреннего плавания и судах смешанного (река - море) плавания.</w:t>
      </w:r>
    </w:p>
    <w:p w:rsidR="000B3819" w:rsidRDefault="000B3819" w:rsidP="000B3819">
      <w:pPr>
        <w:ind w:firstLine="720"/>
        <w:jc w:val="both"/>
        <w:rPr>
          <w:sz w:val="16"/>
        </w:rPr>
      </w:pPr>
    </w:p>
    <w:p w:rsidR="000B3819" w:rsidRDefault="000B3819" w:rsidP="003C6A9B">
      <w:pPr>
        <w:keepNext/>
        <w:spacing w:before="108" w:after="108"/>
        <w:jc w:val="center"/>
        <w:outlineLvl w:val="0"/>
        <w:rPr>
          <w:b/>
          <w:color w:val="26282F"/>
          <w:sz w:val="28"/>
        </w:rPr>
      </w:pPr>
      <w:r>
        <w:rPr>
          <w:b/>
          <w:color w:val="26282F"/>
          <w:sz w:val="28"/>
        </w:rPr>
        <w:lastRenderedPageBreak/>
        <w:t xml:space="preserve">4. </w:t>
      </w:r>
      <w:proofErr w:type="gramStart"/>
      <w:r>
        <w:rPr>
          <w:b/>
          <w:color w:val="26282F"/>
          <w:sz w:val="28"/>
        </w:rPr>
        <w:t>Контроль за</w:t>
      </w:r>
      <w:proofErr w:type="gramEnd"/>
      <w:r>
        <w:rPr>
          <w:b/>
          <w:color w:val="26282F"/>
          <w:sz w:val="28"/>
        </w:rPr>
        <w:t xml:space="preserve"> соблюдением лицензиатами лицензионных условий и требований:</w:t>
      </w:r>
    </w:p>
    <w:p w:rsidR="000B3819" w:rsidRDefault="000B3819" w:rsidP="000B3819">
      <w:pPr>
        <w:ind w:firstLine="720"/>
        <w:jc w:val="both"/>
        <w:rPr>
          <w:sz w:val="16"/>
        </w:rPr>
      </w:pP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в области телевизионного вещания и радиовещания;</w:t>
      </w: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sz w:val="28"/>
        </w:rPr>
        <w:t>в области оказания услуг связи;</w:t>
      </w:r>
    </w:p>
    <w:p w:rsidR="000B3819" w:rsidRPr="00162783" w:rsidRDefault="000B3819" w:rsidP="000B3819">
      <w:pPr>
        <w:tabs>
          <w:tab w:val="left" w:pos="8820"/>
        </w:tabs>
        <w:autoSpaceDE w:val="0"/>
        <w:autoSpaceDN w:val="0"/>
        <w:adjustRightInd w:val="0"/>
        <w:spacing w:line="288" w:lineRule="auto"/>
        <w:ind w:firstLine="680"/>
        <w:jc w:val="both"/>
        <w:rPr>
          <w:sz w:val="28"/>
          <w:szCs w:val="28"/>
        </w:rPr>
      </w:pPr>
      <w:r w:rsidRPr="00162783">
        <w:rPr>
          <w:sz w:val="28"/>
          <w:szCs w:val="28"/>
        </w:rPr>
        <w:t>представление данных в Единую автоматизированную информационную систему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</w:p>
    <w:p w:rsidR="000B3819" w:rsidRDefault="000B3819" w:rsidP="000B3819">
      <w:pPr>
        <w:ind w:firstLine="720"/>
        <w:jc w:val="both"/>
        <w:rPr>
          <w:sz w:val="16"/>
        </w:rPr>
      </w:pP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Размещение заказов и заключение государственных контрактов, а также иных гражданско-правовых договоров на поставки товаров, выполнение работ, оказание услуг для обеспечения нужд Службы и проведение научно-исследовательских работ для иных государственных нужд в установленной сфере деятельности.</w:t>
      </w:r>
    </w:p>
    <w:p w:rsidR="000B3819" w:rsidRDefault="000B3819" w:rsidP="000B3819">
      <w:pPr>
        <w:ind w:firstLine="720"/>
        <w:jc w:val="both"/>
        <w:rPr>
          <w:sz w:val="16"/>
        </w:rPr>
      </w:pPr>
    </w:p>
    <w:p w:rsidR="000B3819" w:rsidRDefault="000B3819" w:rsidP="000B3819">
      <w:pPr>
        <w:ind w:firstLine="720"/>
        <w:jc w:val="both"/>
        <w:rPr>
          <w:sz w:val="28"/>
        </w:rPr>
      </w:pPr>
      <w:r>
        <w:rPr>
          <w:b/>
          <w:sz w:val="28"/>
        </w:rPr>
        <w:t>6.</w:t>
      </w:r>
      <w:r>
        <w:rPr>
          <w:sz w:val="28"/>
        </w:rPr>
        <w:t xml:space="preserve"> Осуществление функции получателя средств федерального бюджета, предусмотренных на содержание Управления и реализацию возложенных на него функций, а также полномочия администратора доходов бюджета в сфере ведения Управления.</w:t>
      </w:r>
    </w:p>
    <w:p w:rsidR="000B3819" w:rsidRDefault="000B3819" w:rsidP="000B3819">
      <w:pPr>
        <w:ind w:firstLine="720"/>
        <w:jc w:val="both"/>
        <w:rPr>
          <w:sz w:val="16"/>
        </w:rPr>
      </w:pPr>
      <w:bookmarkStart w:id="2" w:name="_GoBack"/>
      <w:bookmarkEnd w:id="2"/>
    </w:p>
    <w:sectPr w:rsidR="000B3819" w:rsidSect="003C6A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07" w:rsidRDefault="003A3107">
      <w:r>
        <w:separator/>
      </w:r>
    </w:p>
  </w:endnote>
  <w:endnote w:type="continuationSeparator" w:id="0">
    <w:p w:rsidR="003A3107" w:rsidRDefault="003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07" w:rsidRDefault="003A3107">
      <w:r>
        <w:separator/>
      </w:r>
    </w:p>
  </w:footnote>
  <w:footnote w:type="continuationSeparator" w:id="0">
    <w:p w:rsidR="003A3107" w:rsidRDefault="003A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819"/>
    <w:rsid w:val="000A374A"/>
    <w:rsid w:val="000B3819"/>
    <w:rsid w:val="003A3107"/>
    <w:rsid w:val="003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8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B3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A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247.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1695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805</Words>
  <Characters>4590</Characters>
  <Application>Microsoft Office Word</Application>
  <DocSecurity>0</DocSecurity>
  <Lines>38</Lines>
  <Paragraphs>10</Paragraphs>
  <ScaleCrop>false</ScaleCrop>
  <Company>УРКНРТ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Иван</cp:lastModifiedBy>
  <cp:revision>2</cp:revision>
  <dcterms:created xsi:type="dcterms:W3CDTF">2023-12-28T10:34:00Z</dcterms:created>
  <dcterms:modified xsi:type="dcterms:W3CDTF">2023-12-28T12:23:00Z</dcterms:modified>
</cp:coreProperties>
</file>