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bookmarkStart w:id="0" w:name="RANGE!A1%3AAF26"/>
      <w:r>
        <w:rPr>
          <w:b/>
          <w:bCs/>
        </w:rPr>
        <w:t xml:space="preserve">Отчет о выполнении Плана противодействия коррупции </w:t>
      </w:r>
    </w:p>
    <w:p>
      <w:pPr>
        <w:pStyle w:val="Normal"/>
        <w:jc w:val="center"/>
        <w:rPr>
          <w:b/>
          <w:b/>
          <w:bCs/>
        </w:rPr>
      </w:pPr>
      <w:bookmarkStart w:id="1" w:name="RANGE!A1%3AAF26"/>
      <w:r>
        <w:rPr>
          <w:b/>
          <w:bCs/>
        </w:rPr>
        <w:t xml:space="preserve">Управления Роскомнадзора по Республике Татарстан (Татарстан) на 2021-2024 годы </w:t>
      </w:r>
      <w:bookmarkEnd w:id="1"/>
      <w:r>
        <w:rPr>
          <w:b/>
          <w:bCs/>
        </w:rPr>
        <w:t xml:space="preserve">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за 2 квартал 2023 года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26"/>
        <w:gridCol w:w="1620"/>
        <w:gridCol w:w="2225"/>
      </w:tblGrid>
      <w:tr>
        <w:trPr>
          <w:trHeight w:val="2175" w:hRule="atLeast"/>
        </w:trPr>
        <w:tc>
          <w:tcPr>
            <w:tcW w:w="6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                      Период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  <w:br/>
              <w:t>мероприятий / документов</w:t>
            </w:r>
          </w:p>
        </w:tc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>
        <w:trPr>
          <w:trHeight w:val="450" w:hRule="atLeast"/>
        </w:trPr>
        <w:tc>
          <w:tcPr>
            <w:tcW w:w="69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 квартал 2023 года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 квартал 2023 года</w:t>
            </w:r>
          </w:p>
        </w:tc>
      </w:tr>
      <w:tr>
        <w:trPr>
          <w:trHeight w:val="1345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537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892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контроля за своевременностью представления указанных сведений.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38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948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Подготовка к опубликованию сведений о доходах, расходах, об имуществе и обязательствах имущественного характера, предоставляемых гражданскими служащими Управления, на официальном сайте Роскомнадзора и размещение указанных сведений на официальном сайте Роскомнадзора и на официальном сайте Управления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6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38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89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874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5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1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122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832" w:hRule="atLeast"/>
        </w:trPr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2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95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Организация повышения уровня квалификации гражданских служащих Управления в должностные обязанности  которых входит  участие в противодействии коррупции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407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87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941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29.06.2018г.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986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57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Организация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206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43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Обеспечение размещения на официальном сайте Управления актуальной информации об антикоррупционной деятельности 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252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(должностному) поведению посредством:функционирования «телефона доверия» по вопросам противодействия коррупции; обеспечения приема электронных сообщений  на официальный сайт Роскомнадзора и Управления 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Мониторинг публикаций в средствах массовой информации о фактах проявления коррупции в Управлении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12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Размещение справок о доходах в ЕИСУКС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38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450" w:hRule="atLeast"/>
        </w:trPr>
        <w:tc>
          <w:tcPr>
            <w:tcW w:w="6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2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568" w:right="567" w:gutter="0" w:header="0" w:top="709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0f4e"/>
    <w:pPr>
      <w:widowControl/>
      <w:bidi w:val="0"/>
      <w:spacing w:lineRule="auto" w:line="240"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LibreOffice/7.3.7.2$Linux_X86_64 LibreOffice_project/30$Build-2</Application>
  <AppVersion>15.0000</AppVersion>
  <Pages>2</Pages>
  <Words>781</Words>
  <Characters>5811</Characters>
  <CharactersWithSpaces>6547</CharactersWithSpaces>
  <Paragraphs>83</Paragraphs>
  <Company>УРКНРТ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2023-07-11T06:02:00Z</dcterms:created>
  <dc:creator>Marina</dc:creator>
  <dc:description/>
  <dc:language>ru-RU</dc:language>
  <cp:lastModifiedBy/>
  <dcterms:modified xsi:type="dcterms:W3CDTF">2023-07-11T14:11:53Z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